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仿宋_GB2312"/>
          <w:color w:val="FF0000"/>
          <w:spacing w:val="-50"/>
          <w:w w:val="98"/>
          <w:sz w:val="32"/>
          <w:szCs w:val="32"/>
        </w:rPr>
      </w:pPr>
      <w:bookmarkStart w:id="0" w:name="_GoBack"/>
      <w:bookmarkEnd w:id="0"/>
    </w:p>
    <w:p>
      <w:pPr>
        <w:spacing w:line="500" w:lineRule="exact"/>
        <w:jc w:val="center"/>
        <w:rPr>
          <w:rFonts w:ascii="Times New Roman" w:hAnsi="Times New Roman" w:eastAsia="仿宋_GB2312"/>
          <w:color w:val="FF0000"/>
          <w:spacing w:val="-50"/>
          <w:w w:val="98"/>
          <w:sz w:val="32"/>
          <w:szCs w:val="32"/>
        </w:rPr>
      </w:pPr>
    </w:p>
    <w:p>
      <w:pPr>
        <w:spacing w:line="500" w:lineRule="exact"/>
        <w:jc w:val="center"/>
        <w:rPr>
          <w:rFonts w:ascii="Times New Roman" w:hAnsi="Times New Roman" w:eastAsia="仿宋_GB2312"/>
          <w:color w:val="FF0000"/>
          <w:spacing w:val="-50"/>
          <w:w w:val="98"/>
          <w:sz w:val="32"/>
          <w:szCs w:val="32"/>
        </w:rPr>
      </w:pPr>
    </w:p>
    <w:p>
      <w:pPr>
        <w:ind w:left="1418" w:right="1418"/>
        <w:jc w:val="center"/>
        <w:textAlignment w:val="center"/>
        <w:rPr>
          <w:rFonts w:ascii="Times New Roman" w:hAnsi="Times New Roman" w:eastAsia="方正小标宋简体"/>
          <w:color w:val="FF0000"/>
          <w:spacing w:val="57"/>
          <w:w w:val="98"/>
          <w:sz w:val="61"/>
          <w:szCs w:val="61"/>
        </w:rPr>
      </w:pPr>
      <w:r>
        <w:rPr>
          <w:rFonts w:ascii="Times New Roman" w:hAnsi="Times New Roman" w:eastAsia="方正小标宋简体"/>
          <w:color w:val="FF0000"/>
          <w:spacing w:val="57"/>
          <w:w w:val="98"/>
          <w:sz w:val="61"/>
          <w:szCs w:val="61"/>
        </w:rPr>
        <w:t>广西壮族自治区</w:t>
      </w:r>
    </w:p>
    <w:p>
      <w:pPr>
        <w:ind w:left="1134" w:right="1134"/>
        <w:jc w:val="center"/>
        <w:textAlignment w:val="center"/>
        <w:rPr>
          <w:rFonts w:ascii="Times New Roman" w:hAnsi="Times New Roman" w:eastAsia="方正小标宋简体"/>
          <w:color w:val="FF0000"/>
          <w:spacing w:val="11"/>
          <w:w w:val="98"/>
          <w:sz w:val="95"/>
          <w:szCs w:val="95"/>
        </w:rPr>
      </w:pPr>
      <w:r>
        <w:rPr>
          <w:rFonts w:ascii="Times New Roman" w:hAnsi="Times New Roman" w:eastAsia="方正小标宋简体"/>
          <w:color w:val="FF0000"/>
          <w:spacing w:val="11"/>
          <w:w w:val="98"/>
          <w:sz w:val="95"/>
          <w:szCs w:val="95"/>
        </w:rPr>
        <w:t>农业科学院文件</w:t>
      </w:r>
    </w:p>
    <w:p>
      <w:pPr>
        <w:spacing w:line="400" w:lineRule="exact"/>
        <w:jc w:val="center"/>
        <w:rPr>
          <w:rFonts w:ascii="Times New Roman" w:hAnsi="Times New Roman" w:eastAsia="仿宋_GB2312"/>
          <w:sz w:val="32"/>
          <w:szCs w:val="32"/>
        </w:rPr>
      </w:pPr>
    </w:p>
    <w:p>
      <w:pPr>
        <w:spacing w:after="156" w:afterLines="50" w:line="590" w:lineRule="exact"/>
        <w:jc w:val="center"/>
        <w:rPr>
          <w:rFonts w:hint="eastAsia" w:ascii="仿宋_GB2312" w:hAnsi="仿宋_GB2312" w:eastAsia="仿宋_GB2312" w:cs="仿宋_GB2312"/>
          <w:sz w:val="32"/>
          <w:szCs w:val="32"/>
          <w:lang w:eastAsia="zh-CN"/>
        </w:rPr>
      </w:pPr>
      <mc:AlternateContent>
        <mc:Choice Requires="wpsCustomData">
          <wpsCustomData:docfieldStart id="0" docfieldname="发文字号" hidden="false" print="true" readonly="false" index="1"/>
        </mc:Choice>
      </mc:AlternateContent>
      <w:r>
        <w:rPr>
          <w:rFonts w:hint="eastAsia" w:ascii="仿宋_GB2312" w:hAnsi="仿宋_GB2312" w:eastAsia="仿宋_GB2312" w:cs="仿宋_GB2312"/>
          <w:sz w:val="32"/>
          <w:szCs w:val="32"/>
          <w:lang w:eastAsia="zh-CN"/>
        </w:rPr>
        <w:t>桂农科发〔2022〕35号</w:t>
      </w:r>
      <mc:AlternateContent>
        <mc:Choice Requires="wpsCustomData">
          <wpsCustomData:docfieldEnd id="0"/>
        </mc:Choice>
      </mc:AlternateContent>
    </w:p>
    <w:tbl>
      <w:tblPr>
        <w:tblStyle w:val="7"/>
        <w:tblW w:w="0" w:type="auto"/>
        <w:tblInd w:w="108"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autofit"/>
        <w:tblCellMar>
          <w:top w:w="0" w:type="dxa"/>
          <w:left w:w="108" w:type="dxa"/>
          <w:bottom w:w="0" w:type="dxa"/>
          <w:right w:w="108" w:type="dxa"/>
        </w:tblCellMar>
      </w:tblPr>
      <w:tblGrid>
        <w:gridCol w:w="9072"/>
      </w:tblGrid>
      <w:tr>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CellMar>
            <w:top w:w="0" w:type="dxa"/>
            <w:left w:w="108" w:type="dxa"/>
            <w:bottom w:w="0" w:type="dxa"/>
            <w:right w:w="108" w:type="dxa"/>
          </w:tblCellMar>
        </w:tblPrEx>
        <w:trPr>
          <w:trHeight w:val="800" w:hRule="atLeast"/>
        </w:trPr>
        <w:tc>
          <w:tcPr>
            <w:tcW w:w="9072" w:type="dxa"/>
            <w:tcBorders>
              <w:left w:val="nil"/>
              <w:bottom w:val="nil"/>
              <w:right w:val="nil"/>
            </w:tcBorders>
            <w:noWrap w:val="0"/>
            <w:vAlign w:val="top"/>
          </w:tcPr>
          <w:p>
            <w:pPr>
              <w:widowControl w:val="0"/>
              <w:spacing w:line="500" w:lineRule="exact"/>
              <w:jc w:val="left"/>
              <w:rPr>
                <w:rFonts w:ascii="Times New Roman" w:hAnsi="Times New Roman" w:eastAsia="方正小标宋简体"/>
                <w:bCs/>
                <w:sz w:val="44"/>
                <w:szCs w:val="44"/>
              </w:rPr>
            </w:pPr>
          </w:p>
        </w:tc>
      </w:tr>
    </w:tbl>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mc:AlternateContent>
        <mc:Choice Requires="wpsCustomData">
          <wpsCustomData:docfieldStart id="1" docfieldname="正文" hidden="false" print="true" readonly="false" index="2"/>
        </mc:Choice>
      </mc:AlternateContent>
      <w:r>
        <w:rPr>
          <w:rFonts w:hint="eastAsia" w:ascii="方正小标宋简体" w:hAnsi="方正小标宋简体" w:eastAsia="方正小标宋简体" w:cs="方正小标宋简体"/>
          <w:sz w:val="44"/>
          <w:szCs w:val="44"/>
          <w:lang w:val="en-US" w:eastAsia="zh-CN"/>
        </w:rPr>
        <w:t>自治区农科院关于印发《广西壮族自治区农业</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科学院国有资产管理办法（修订）》的通知</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院机关各部门、院属各单位：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广西壮族自治区</w:t>
      </w:r>
      <w:r>
        <w:rPr>
          <w:rFonts w:hint="eastAsia" w:ascii="仿宋_GB2312" w:hAnsi="仿宋_GB2312" w:eastAsia="仿宋_GB2312" w:cs="仿宋_GB2312"/>
          <w:b w:val="0"/>
          <w:bCs w:val="0"/>
          <w:color w:val="auto"/>
          <w:kern w:val="0"/>
          <w:sz w:val="32"/>
          <w:szCs w:val="32"/>
          <w:lang w:val="en-US" w:eastAsia="zh-CN" w:bidi="ar-SA"/>
        </w:rPr>
        <w:t>农业科学院国有资产管理办法（修订）》已经院办公会审议通过，现予印发，请认真贯彻执行。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广西壮族自治区农业科学院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xml:space="preserve">     2022年9月9日</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广西壮族自治区农业科学院国有资产管理办法（修订）</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 xml:space="preserve"> 总</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rPr>
        <w:t>第一条</w:t>
      </w:r>
      <w:r>
        <w:rPr>
          <w:rFonts w:hint="eastAsia" w:ascii="宋体" w:hAnsi="宋体" w:eastAsia="宋体" w:cs="Times New Roman"/>
          <w:b w:val="0"/>
          <w:bCs w:val="0"/>
          <w:color w:val="000000"/>
          <w:kern w:val="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为规范和加强我院国有资产管理，提高国有资产使用效益，维护国有资产的安全和完整，根据《行政事业性国有资产管理条例》（国务院令第738号）、《事业单位国有资产管理暂行办法》（财政部令第36号）、《广西壮族自治区行政事业单位国有资产管理办法》（自治区人民政府令第68号）、《自治区本级行政事业单位国有资产管理暂行办法》（桂财资[2012]9号）和《关于印发自治区本级行政事业单位国有资产处置管理办法的通知》（桂财资[2017]6号）等相关规定，结合本院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第二条</w:t>
      </w:r>
      <w:r>
        <w:rPr>
          <w:rFonts w:hint="eastAsia" w:ascii="宋体" w:hAnsi="宋体" w:eastAsia="宋体" w:cs="Times New Roman"/>
          <w:b w:val="0"/>
          <w:bCs w:val="0"/>
          <w:color w:val="000000"/>
          <w:kern w:val="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本办法适用于我院国有资产管理活动。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第三条</w:t>
      </w:r>
      <w:r>
        <w:rPr>
          <w:rFonts w:hint="eastAsia" w:ascii="宋体" w:hAnsi="宋体" w:eastAsia="宋体" w:cs="Times New Roman"/>
          <w:b w:val="0"/>
          <w:bCs w:val="0"/>
          <w:color w:val="000000"/>
          <w:kern w:val="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国有资产是指各单位占有、使用的，依法确认为国家所有，能以货币计量的各种经济资源的总称，即事业单位国有（公共）财产。其具体表现形式为流动资产、固定资产、无形资产等。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第四条</w:t>
      </w:r>
      <w:r>
        <w:rPr>
          <w:rFonts w:hint="eastAsia" w:ascii="宋体" w:hAnsi="宋体" w:eastAsia="宋体" w:cs="Times New Roman"/>
          <w:b w:val="0"/>
          <w:bCs w:val="0"/>
          <w:color w:val="000000"/>
          <w:kern w:val="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国有资产管理应坚持资产管理与预算管理相结合、资产管理与财务管理相结合、实物管理与价值管理相结合、资产所有权与使用权相分离的原则。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第五条</w:t>
      </w:r>
      <w:r>
        <w:rPr>
          <w:rFonts w:hint="eastAsia" w:ascii="宋体" w:hAnsi="宋体" w:eastAsia="宋体" w:cs="Times New Roman"/>
          <w:b w:val="0"/>
          <w:bCs w:val="0"/>
          <w:color w:val="000000"/>
          <w:kern w:val="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国有资产管理的内容包括：资产配置、使用、处置管理，资产清查、信息化管理、资产统计报告和管理考核等。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Times New Roman"/>
          <w:b w:val="0"/>
          <w:bCs w:val="0"/>
          <w:color w:val="000000"/>
          <w:sz w:val="32"/>
          <w:szCs w:val="32"/>
          <w:highlight w:val="none"/>
        </w:rPr>
      </w:pPr>
      <w:r>
        <w:rPr>
          <w:rFonts w:hint="eastAsia" w:ascii="黑体" w:hAnsi="黑体" w:eastAsia="黑体" w:cs="黑体"/>
          <w:b w:val="0"/>
          <w:bCs w:val="0"/>
          <w:sz w:val="32"/>
          <w:szCs w:val="32"/>
          <w:highlight w:val="none"/>
        </w:rPr>
        <w:t xml:space="preserve">第二章 </w:t>
      </w:r>
      <w:r>
        <w:rPr>
          <w:rFonts w:hint="eastAsia" w:ascii="宋体" w:hAnsi="宋体" w:eastAsia="宋体" w:cs="Times New Roman"/>
          <w:b w:val="0"/>
          <w:bCs w:val="0"/>
          <w:color w:val="000000"/>
          <w:sz w:val="32"/>
          <w:szCs w:val="32"/>
          <w:highlight w:val="none"/>
        </w:rPr>
        <w:t xml:space="preserve"> </w:t>
      </w:r>
      <w:r>
        <w:rPr>
          <w:rFonts w:hint="eastAsia" w:ascii="黑体" w:hAnsi="黑体" w:eastAsia="黑体" w:cs="黑体"/>
          <w:b w:val="0"/>
          <w:bCs w:val="0"/>
          <w:sz w:val="32"/>
          <w:szCs w:val="32"/>
          <w:highlight w:val="none"/>
        </w:rPr>
        <w:t>管理机构及职责</w:t>
      </w:r>
    </w:p>
    <w:p>
      <w:pPr>
        <w:pStyle w:val="2"/>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Times New Roman"/>
          <w:b w:val="0"/>
          <w:bCs w:val="0"/>
          <w:color w:val="auto"/>
          <w:kern w:val="0"/>
          <w:sz w:val="32"/>
          <w:szCs w:val="32"/>
          <w:highlight w:val="none"/>
        </w:rPr>
      </w:pPr>
      <w:r>
        <w:rPr>
          <w:rFonts w:hint="eastAsia" w:ascii="宋体" w:hAnsi="宋体" w:eastAsia="宋体" w:cs="Times New Roman"/>
          <w:b w:val="0"/>
          <w:bCs w:val="0"/>
          <w:color w:val="000000"/>
          <w:sz w:val="32"/>
          <w:szCs w:val="32"/>
          <w:highlight w:val="none"/>
        </w:rPr>
        <w:t xml:space="preserve">    </w:t>
      </w:r>
      <w:r>
        <w:rPr>
          <w:rFonts w:hint="eastAsia" w:ascii="黑体" w:hAnsi="黑体" w:eastAsia="黑体" w:cs="黑体"/>
          <w:b w:val="0"/>
          <w:bCs w:val="0"/>
          <w:color w:val="000000"/>
          <w:kern w:val="0"/>
          <w:sz w:val="32"/>
          <w:szCs w:val="32"/>
          <w:highlight w:val="none"/>
          <w:lang w:val="en-US" w:eastAsia="zh-CN" w:bidi="ar-SA"/>
        </w:rPr>
        <w:t>第六条</w:t>
      </w:r>
      <w:r>
        <w:rPr>
          <w:rFonts w:hint="eastAsia" w:ascii="宋体" w:hAnsi="宋体" w:eastAsia="宋体" w:cs="Times New Roman"/>
          <w:b w:val="0"/>
          <w:bCs w:val="0"/>
          <w:color w:val="000000"/>
          <w:kern w:val="0"/>
          <w:sz w:val="32"/>
          <w:szCs w:val="32"/>
          <w:highlight w:val="none"/>
        </w:rPr>
        <w:t xml:space="preserve"> </w:t>
      </w:r>
      <w:r>
        <w:rPr>
          <w:rFonts w:hint="eastAsia" w:ascii="宋体" w:hAnsi="宋体" w:eastAsia="宋体" w:cs="Times New Roman"/>
          <w:b w:val="0"/>
          <w:bCs w:val="0"/>
          <w:color w:val="FF0000"/>
          <w:kern w:val="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计财处、后勤管理处、后勤服务中心和科研基地管理处是院国有资产管理的职能部门（以下简称主管部门），院属各所根据实际情况设立资产管理部门。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第七条</w:t>
      </w:r>
      <w:r>
        <w:rPr>
          <w:rFonts w:hint="eastAsia" w:ascii="宋体" w:hAnsi="宋体" w:eastAsia="宋体" w:cs="Times New Roman"/>
          <w:b w:val="0"/>
          <w:bCs w:val="0"/>
          <w:color w:val="000000"/>
          <w:kern w:val="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主管部门本着“产权清晰、配置科学、使用合理、处置规范、监督公正”的管理理念，负责对本级及所属单位的国有资产实施监督管理。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（一）根据上级财政部门和本级国有资产管理规定，制定本</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部门事业单位国有资产管理办法，并组织实施和监督检查。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（二）组织本单位国有资产的清查、登记、统计汇总、报告及日常监督检查工作。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（三）审核所属单位利用国有资产对外投资、出租、出借和担保等事项，按规定权限审核或审批资产配置、处置事项。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（四）负责所属单位长期闲置、低效运转和超标准配置资产的调剂工作，优化单位国有资产配置，推动资产共享、共用。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（五）督促各单位按规定缴纳国有资产收益。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（六）组织实施对所属单位国有资产管理和使用情况的评价和考核。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（七）接受同级财政部门的监督指导并报告有关管理工作。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第八条</w:t>
      </w:r>
      <w:r>
        <w:rPr>
          <w:rFonts w:hint="eastAsia" w:ascii="仿宋_GB2312" w:hAnsi="仿宋_GB2312" w:eastAsia="仿宋_GB2312" w:cs="仿宋_GB2312"/>
          <w:b w:val="0"/>
          <w:bCs w:val="0"/>
          <w:color w:val="auto"/>
          <w:kern w:val="0"/>
          <w:sz w:val="32"/>
          <w:szCs w:val="32"/>
          <w:lang w:val="en-US" w:eastAsia="zh-CN" w:bidi="ar-SA"/>
        </w:rPr>
        <w:tab/>
      </w:r>
      <w:r>
        <w:rPr>
          <w:rFonts w:hint="eastAsia" w:ascii="仿宋_GB2312" w:hAnsi="仿宋_GB2312" w:eastAsia="仿宋_GB2312" w:cs="仿宋_GB2312"/>
          <w:b w:val="0"/>
          <w:bCs w:val="0"/>
          <w:color w:val="auto"/>
          <w:kern w:val="0"/>
          <w:sz w:val="32"/>
          <w:szCs w:val="32"/>
          <w:lang w:val="en-US" w:eastAsia="zh-CN" w:bidi="ar-SA"/>
        </w:rPr>
        <w:t xml:space="preserve"> 院属各单位负责对本单位占有、使用的国有资产实施具体管理。其主要职责是：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（一）根据事业单位国有资产管理的规定，建立健全资产购置、验收、保管、使用、处置等内部管理制度。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（二）负责本单位资产购置、验收、维护、保养、清查登记、统计报告及日常监督检查等工作，保障本单位国有资产的安全宪整和有效利用。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（三）办理本单位国有资产配置、处置等事项的报批手续。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（四）按规定及时、足额缴纳国有资产收益等。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（五）接受主管部门和同级财政部门的监督、指导，并向其报告有关国有资产管理工作。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第九条</w:t>
      </w:r>
      <w:r>
        <w:rPr>
          <w:rFonts w:ascii="宋体" w:hAnsi="宋体" w:eastAsia="宋体" w:cs="Times New Roman"/>
          <w:b w:val="0"/>
          <w:bCs w:val="0"/>
          <w:color w:val="000000"/>
          <w:kern w:val="0"/>
          <w:sz w:val="32"/>
          <w:szCs w:val="32"/>
          <w:highlight w:val="none"/>
        </w:rPr>
        <w:tab/>
      </w:r>
      <w:r>
        <w:rPr>
          <w:rFonts w:hint="eastAsia" w:ascii="宋体" w:hAnsi="宋体" w:eastAsia="宋体" w:cs="Times New Roman"/>
          <w:b w:val="0"/>
          <w:bCs w:val="0"/>
          <w:color w:val="000000"/>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lang w:val="en-US" w:eastAsia="zh-CN" w:bidi="ar-SA"/>
        </w:rPr>
        <w:t>主管部门和各单位应当按照本办法的规定，明确管理机构和人员，做好单位的国有资产管理工作。</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ascii="宋体" w:hAnsi="宋体" w:eastAsia="宋体" w:cs="Times New Roman"/>
          <w:b w:val="0"/>
          <w:bCs w:val="0"/>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Times New Roman"/>
          <w:b w:val="0"/>
          <w:bCs w:val="0"/>
          <w:color w:val="000000"/>
          <w:sz w:val="32"/>
          <w:szCs w:val="32"/>
          <w:highlight w:val="none"/>
        </w:rPr>
      </w:pPr>
      <w:r>
        <w:rPr>
          <w:rFonts w:hint="eastAsia" w:ascii="黑体" w:hAnsi="黑体" w:eastAsia="黑体" w:cs="黑体"/>
          <w:b w:val="0"/>
          <w:bCs w:val="0"/>
          <w:sz w:val="32"/>
          <w:szCs w:val="32"/>
          <w:highlight w:val="none"/>
        </w:rPr>
        <w:t>第三章  资产配置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第十条</w:t>
      </w:r>
      <w:r>
        <w:rPr>
          <w:rFonts w:hint="eastAsia" w:ascii="宋体" w:hAnsi="宋体" w:eastAsia="宋体" w:cs="Times New Roman"/>
          <w:b w:val="0"/>
          <w:bCs w:val="0"/>
          <w:kern w:val="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国有资产配置应当遵循以下原则：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（一）严格执行法律、法规和有关规章制度。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（二）与单位履行职能和满足事业发展需要相适应。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（三）科学合理，标准统一。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（四）勤俭节约，从严控制。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（五）调剂、租赁、购置、共享相结合。</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第十一条</w:t>
      </w:r>
      <w:r>
        <w:rPr>
          <w:rFonts w:hint="eastAsia" w:ascii="宋体" w:hAnsi="宋体" w:eastAsia="宋体" w:cs="Times New Roman"/>
          <w:b w:val="0"/>
          <w:bCs w:val="0"/>
          <w:color w:val="000000"/>
          <w:kern w:val="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资产配置应当符合规定的配置标准；没有规定配置标准的资产，应当从实际需要出发，从严控制，合理配备。对要求配置的资产，能通过调剂解决的，原则上不重新购置。</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第十二条</w:t>
      </w:r>
      <w:r>
        <w:rPr>
          <w:rFonts w:hint="eastAsia" w:ascii="宋体" w:hAnsi="宋体" w:eastAsia="宋体" w:cs="Times New Roman"/>
          <w:b w:val="0"/>
          <w:bCs w:val="0"/>
          <w:color w:val="000000"/>
          <w:kern w:val="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国有资产的购置应当严格执行国家、自治区以及单位关于政府采购、招投标等有关规定。</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第十三条</w:t>
      </w:r>
      <w:r>
        <w:rPr>
          <w:rFonts w:ascii="宋体" w:hAnsi="宋体" w:eastAsia="宋体" w:cs="Times New Roman"/>
          <w:b w:val="0"/>
          <w:bCs w:val="0"/>
          <w:color w:val="auto"/>
          <w:kern w:val="0"/>
          <w:sz w:val="32"/>
          <w:szCs w:val="32"/>
          <w:highlight w:val="none"/>
        </w:rPr>
        <w:t xml:space="preserve"> </w:t>
      </w:r>
      <w:r>
        <w:rPr>
          <w:rFonts w:hint="eastAsia" w:ascii="宋体" w:hAnsi="宋体" w:eastAsia="宋体" w:cs="Times New Roman"/>
          <w:b w:val="0"/>
          <w:bCs w:val="0"/>
          <w:color w:val="auto"/>
          <w:kern w:val="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单位应当将拟购置资产的品目、数量、测算经费额度，编制资产购置计划等，一并纳入年度部门预算建议计划，经主管部门审核后报财政部门批准。不得办理无资产购置预算的资产购置事项。对单台/套价格在50万元以上的仪器设备，按财政厅、科技厅、教育厅、广西科学院等部门《关于印发广西壮族自治区本级新购大型科学仪器设备联合评议试行办法的通知》（桂财教[2014]112号）要求，须通过新购大型科学仪器设备联合评议后才能编入预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第十四条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各单位应当对配置的资产进行验收和登记，录入资产管理信息系统，并及时进行账务处理。财务和管理使用部门，应根据发票和固定资产入库单，对每项固定资产建立固定资产卡片，一式叁份。两份分别由资产管理部门、财务部门保管，作为核算依据；一份由使用部门保管，作为使用部门固定资产实物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第十五条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固定资产的使用年限，按有关规定年限执行。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Times New Roman"/>
          <w:b w:val="0"/>
          <w:bCs w:val="0"/>
          <w:color w:val="000000"/>
          <w:sz w:val="32"/>
          <w:szCs w:val="32"/>
          <w:highlight w:val="none"/>
        </w:rPr>
      </w:pPr>
      <w:r>
        <w:rPr>
          <w:rFonts w:hint="eastAsia" w:ascii="宋体" w:hAnsi="宋体" w:eastAsia="宋体" w:cs="Times New Roman"/>
          <w:b w:val="0"/>
          <w:bCs w:val="0"/>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Times New Roman"/>
          <w:b w:val="0"/>
          <w:bCs w:val="0"/>
          <w:color w:val="000000"/>
          <w:sz w:val="32"/>
          <w:szCs w:val="32"/>
          <w:highlight w:val="none"/>
        </w:rPr>
      </w:pPr>
      <w:r>
        <w:rPr>
          <w:rFonts w:hint="eastAsia" w:ascii="黑体" w:hAnsi="黑体" w:eastAsia="黑体" w:cs="黑体"/>
          <w:b w:val="0"/>
          <w:bCs w:val="0"/>
          <w:sz w:val="32"/>
          <w:szCs w:val="32"/>
          <w:highlight w:val="none"/>
        </w:rPr>
        <w:t>第四章  资产出租、出借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宋体" w:cs="Times New Roman"/>
          <w:b w:val="0"/>
          <w:bCs w:val="0"/>
          <w:color w:val="00000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第十六条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单位国有资产对外出租、出借，须按照规定程序履行报批手续和进入自治区人民政府授权的资产租赁平台，采取公开招租的形式确定出租价格。</w:t>
      </w:r>
      <w:r>
        <w:rPr>
          <w:rFonts w:hint="eastAsia" w:ascii="宋体" w:hAnsi="宋体" w:eastAsia="宋体" w:cs="Times New Roman"/>
          <w:b w:val="0"/>
          <w:bCs w:val="0"/>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宋体" w:cs="Times New Roman"/>
          <w:b w:val="0"/>
          <w:bCs w:val="0"/>
          <w:color w:val="00000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第十七条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单位出租、出借国有资产单项或批量价值在人民币300万元以上（含300万元）的，经主管部门（后勤管理处/后勤服务中心/科研基地管理处）审核报单位负责人审核上会审议研究决定后报自治区财政厅审批。300万元以下的，经主管部门审核后报单位负责人审批，并将正式合同报自治区财政厅备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第十八条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单位申请出租、出借国有资产，应如实提供书面申请书、资产价值凭证及权属证明（如购货发票或收据、工程决算副本、国有土地使用权证、房屋所有权证、股权证等凭据加盖公章的复印件）、可行性论证报告、同意出租出借内部决议或会议纪要复印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第十九条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单位不得以无偿方式出借国有资产，不得出借货币资金。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000000"/>
          <w:kern w:val="0"/>
          <w:sz w:val="32"/>
          <w:szCs w:val="32"/>
          <w:highlight w:val="none"/>
          <w:lang w:val="en-US" w:eastAsia="zh-CN" w:bidi="ar-SA"/>
        </w:rPr>
        <w:t>第二十条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auto"/>
          <w:kern w:val="0"/>
          <w:sz w:val="32"/>
          <w:szCs w:val="32"/>
          <w:lang w:val="en-US" w:eastAsia="zh-CN" w:bidi="ar-SA"/>
        </w:rPr>
        <w:t>出租、出借国有资产的合同期限一般不超过5年，确因特殊情况需超过5年的，应分期分档确定租赁价格，但最长期限不得超过10年。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宋体" w:cs="Times New Roman"/>
          <w:b w:val="0"/>
          <w:bCs w:val="0"/>
          <w:color w:val="00000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第二十一条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000000"/>
          <w:sz w:val="32"/>
          <w:szCs w:val="32"/>
          <w:highlight w:val="none"/>
        </w:rPr>
        <w:t>出租、出借国有资产取得的收入，应按照预算管理及事业单位会计制度等有关规定实行收支两条线，纳入单位预算，统一核算和管理。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宋体" w:cs="Times New Roman"/>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ascii="宋体" w:hAnsi="宋体" w:eastAsia="宋体" w:cs="Times New Roman"/>
          <w:b w:val="0"/>
          <w:bCs w:val="0"/>
          <w:color w:val="000000"/>
          <w:sz w:val="32"/>
          <w:szCs w:val="32"/>
          <w:highlight w:val="none"/>
        </w:rPr>
      </w:pPr>
      <w:r>
        <w:rPr>
          <w:rFonts w:hint="eastAsia" w:ascii="黑体" w:hAnsi="黑体" w:eastAsia="黑体" w:cs="黑体"/>
          <w:b w:val="0"/>
          <w:bCs w:val="0"/>
          <w:sz w:val="32"/>
          <w:szCs w:val="32"/>
          <w:highlight w:val="none"/>
        </w:rPr>
        <w:t>第五章  资产处置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Times New Roman"/>
          <w:b w:val="0"/>
          <w:bCs w:val="0"/>
          <w:color w:val="auto"/>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第二十二条</w:t>
      </w:r>
      <w:r>
        <w:rPr>
          <w:rFonts w:hint="eastAsia" w:ascii="宋体" w:hAnsi="宋体" w:eastAsia="宋体" w:cs="Times New Roman"/>
          <w:b w:val="0"/>
          <w:bCs w:val="0"/>
          <w:color w:val="auto"/>
          <w:kern w:val="0"/>
          <w:sz w:val="32"/>
          <w:szCs w:val="32"/>
          <w:highlight w:val="none"/>
        </w:rPr>
        <w:t xml:space="preserve">  </w:t>
      </w:r>
      <w:r>
        <w:rPr>
          <w:rFonts w:hint="eastAsia" w:ascii="仿宋_GB2312" w:hAnsi="仿宋_GB2312" w:eastAsia="仿宋_GB2312" w:cs="仿宋_GB2312"/>
          <w:b w:val="0"/>
          <w:bCs w:val="0"/>
          <w:color w:val="auto"/>
          <w:sz w:val="32"/>
          <w:szCs w:val="32"/>
          <w:highlight w:val="none"/>
        </w:rPr>
        <w:t>单位国有资产处置管理按《自治区本级行政事业单位国有资产处置管理办法》（桂财资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highlight w:val="none"/>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highlight w:val="none"/>
        </w:rPr>
        <w:t>6号）以及院国有资产处置管理有关规定执行。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Times New Roman"/>
          <w:b w:val="0"/>
          <w:bCs w:val="0"/>
          <w:color w:val="000000"/>
          <w:sz w:val="32"/>
          <w:szCs w:val="32"/>
          <w:highlight w:val="none"/>
        </w:rPr>
      </w:pPr>
      <w:r>
        <w:rPr>
          <w:rFonts w:hint="eastAsia" w:ascii="宋体" w:hAnsi="宋体" w:eastAsia="宋体" w:cs="Times New Roman"/>
          <w:b w:val="0"/>
          <w:bCs w:val="0"/>
          <w:color w:val="000000"/>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Times New Roman"/>
          <w:b w:val="0"/>
          <w:bCs w:val="0"/>
          <w:color w:val="000000"/>
          <w:sz w:val="32"/>
          <w:szCs w:val="32"/>
          <w:highlight w:val="none"/>
        </w:rPr>
      </w:pPr>
      <w:r>
        <w:rPr>
          <w:rFonts w:hint="eastAsia" w:ascii="宋体" w:hAnsi="宋体" w:eastAsia="宋体" w:cs="Times New Roman"/>
          <w:b w:val="0"/>
          <w:bCs w:val="0"/>
          <w:color w:val="000000"/>
          <w:sz w:val="32"/>
          <w:szCs w:val="32"/>
          <w:highlight w:val="none"/>
        </w:rPr>
        <w:t xml:space="preserve">   </w:t>
      </w:r>
      <w:r>
        <w:rPr>
          <w:rFonts w:hint="eastAsia" w:ascii="黑体" w:hAnsi="黑体" w:eastAsia="黑体" w:cs="黑体"/>
          <w:b w:val="0"/>
          <w:bCs w:val="0"/>
          <w:sz w:val="32"/>
          <w:szCs w:val="32"/>
          <w:highlight w:val="none"/>
        </w:rPr>
        <w:t>第六章  对外投资管理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第二十三条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000000"/>
          <w:sz w:val="32"/>
          <w:szCs w:val="32"/>
          <w:highlight w:val="none"/>
        </w:rPr>
        <w:t>对外投资，是指利用本单位占有、使用的土地、房屋建筑物、无形资产等国有资产对外投资举办经济实体或占有股份等行为。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Times New Roman"/>
          <w:b w:val="0"/>
          <w:bCs w:val="0"/>
          <w:color w:val="00000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第二十四条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000000"/>
          <w:sz w:val="32"/>
          <w:szCs w:val="32"/>
          <w:highlight w:val="none"/>
        </w:rPr>
        <w:t>单位利用国有资产对外投资，应在科学论证、公开决策的基础上提出对外投资申请，严格按照自治区财政厅相关规定执行报批手续。主管部门应对所属单位申报材料的完整性、决策过程的合规性、投资项目资金来源的合理性等进行审查，并报财政部门审批或者备案。</w:t>
      </w:r>
      <w:r>
        <w:rPr>
          <w:rFonts w:hint="eastAsia" w:ascii="宋体" w:hAnsi="宋体" w:eastAsia="宋体" w:cs="Times New Roman"/>
          <w:b w:val="0"/>
          <w:bCs w:val="0"/>
          <w:color w:val="000000"/>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第二十五条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000000"/>
          <w:sz w:val="32"/>
          <w:szCs w:val="32"/>
          <w:highlight w:val="none"/>
        </w:rPr>
        <w:t xml:space="preserve">单位应在保证单位正常运转和事业发展的前提下，严格控制货币性资金对外投资。不得利用财政拨款和财政拨款结余对外投资。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Times New Roman"/>
          <w:b w:val="0"/>
          <w:bCs w:val="0"/>
          <w:color w:val="00000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第二十六条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000000"/>
          <w:sz w:val="32"/>
          <w:szCs w:val="32"/>
          <w:highlight w:val="none"/>
        </w:rPr>
        <w:t>加强无形资产对外投资的管理，建立台账备查，防止国有资产流失。</w:t>
      </w:r>
      <w:r>
        <w:rPr>
          <w:rFonts w:hint="eastAsia" w:ascii="宋体" w:hAnsi="宋体" w:eastAsia="宋体" w:cs="Times New Roman"/>
          <w:b w:val="0"/>
          <w:bCs w:val="0"/>
          <w:color w:val="000000"/>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第二十七条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000000"/>
          <w:sz w:val="32"/>
          <w:szCs w:val="32"/>
          <w:highlight w:val="none"/>
        </w:rPr>
        <w:t>加强对外投资形成股权的管理，依法履行出资人职能。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第二十八条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000000"/>
          <w:sz w:val="32"/>
          <w:szCs w:val="32"/>
          <w:highlight w:val="none"/>
        </w:rPr>
        <w:t>对外投资取得的收益，按照预算管理及事业单</w:t>
      </w:r>
      <w:r>
        <w:rPr>
          <w:rFonts w:hint="eastAsia" w:ascii="仿宋_GB2312" w:hAnsi="仿宋_GB2312" w:eastAsia="仿宋_GB2312" w:cs="仿宋_GB2312"/>
          <w:b w:val="0"/>
          <w:bCs w:val="0"/>
          <w:color w:val="000000"/>
          <w:spacing w:val="-6"/>
          <w:sz w:val="32"/>
          <w:szCs w:val="32"/>
          <w:highlight w:val="none"/>
        </w:rPr>
        <w:t>位财务和会计制度的有关规定纳入单位预算，统一核算，统一管理。</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ascii="宋体" w:hAnsi="宋体" w:eastAsia="宋体" w:cs="Times New Roman"/>
          <w:b w:val="0"/>
          <w:bCs w:val="0"/>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第七章  资产清查盘点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第二十九条</w:t>
      </w:r>
      <w:r>
        <w:rPr>
          <w:rFonts w:hint="eastAsia" w:ascii="宋体" w:hAnsi="宋体" w:eastAsia="宋体" w:cs="Times New Roman"/>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rPr>
        <w:t>各单位资产管理部门和财务部门应定期（至少每年一次，另有规定除外）对国有资产进行全面清查盘点，做到账账相符、账卡相符、账实相符。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第三十条</w:t>
      </w:r>
      <w:r>
        <w:rPr>
          <w:rFonts w:hint="eastAsia" w:ascii="宋体" w:hAnsi="宋体" w:eastAsia="宋体" w:cs="Times New Roman"/>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rPr>
        <w:t>资产清查出的资产盘盈、损失和资金挂账等事项应报主管部门（计财处）审核（审批），并根据不同情况报财政部门审批（备案）。财政部门的批复（备案）后，各单位按照国家统一的财务、会计制度进行账务处理，并将账务处理结果报主管部门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第三十一条</w:t>
      </w:r>
      <w:r>
        <w:rPr>
          <w:rFonts w:hint="eastAsia" w:ascii="宋体" w:hAnsi="宋体" w:eastAsia="宋体" w:cs="Times New Roman"/>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rPr>
        <w:t>各单位应当加强对专利权、商标权、土地使用权等无形资产的管理。</w:t>
      </w:r>
    </w:p>
    <w:p>
      <w:pPr>
        <w:keepNext w:val="0"/>
        <w:keepLines w:val="0"/>
        <w:pageBreakBefore w:val="0"/>
        <w:widowControl w:val="0"/>
        <w:kinsoku/>
        <w:wordWrap/>
        <w:overflowPunct/>
        <w:topLinePunct w:val="0"/>
        <w:autoSpaceDE/>
        <w:autoSpaceDN/>
        <w:bidi w:val="0"/>
        <w:adjustRightInd/>
        <w:snapToGrid/>
        <w:spacing w:line="560" w:lineRule="exact"/>
        <w:ind w:firstLine="616"/>
        <w:textAlignment w:val="auto"/>
        <w:rPr>
          <w:rFonts w:hint="eastAsia" w:ascii="仿宋_GB2312" w:hAnsi="仿宋_GB2312" w:eastAsia="仿宋_GB2312" w:cs="仿宋_GB2312"/>
          <w:b w:val="0"/>
          <w:bCs w:val="0"/>
          <w:spacing w:val="-6"/>
          <w:kern w:val="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第三十二条</w:t>
      </w:r>
      <w:r>
        <w:rPr>
          <w:rFonts w:hint="eastAsia" w:ascii="宋体" w:hAnsi="宋体" w:eastAsia="宋体" w:cs="Times New Roman"/>
          <w:b w:val="0"/>
          <w:bCs w:val="0"/>
          <w:color w:val="000000"/>
          <w:spacing w:val="-6"/>
          <w:kern w:val="0"/>
          <w:sz w:val="32"/>
          <w:szCs w:val="32"/>
          <w:highlight w:val="none"/>
        </w:rPr>
        <w:t xml:space="preserve">  </w:t>
      </w:r>
      <w:r>
        <w:rPr>
          <w:rFonts w:hint="eastAsia" w:ascii="仿宋_GB2312" w:hAnsi="仿宋_GB2312" w:eastAsia="仿宋_GB2312" w:cs="仿宋_GB2312"/>
          <w:b w:val="0"/>
          <w:bCs w:val="0"/>
          <w:color w:val="000000"/>
          <w:spacing w:val="-6"/>
          <w:kern w:val="0"/>
          <w:sz w:val="32"/>
          <w:szCs w:val="32"/>
          <w:highlight w:val="none"/>
        </w:rPr>
        <w:t>资产清查工作的内容主要包括基本情况清查、账务清理、财产清查、损溢认定、资产核实和完善制度等</w:t>
      </w:r>
      <w:r>
        <w:rPr>
          <w:rFonts w:hint="eastAsia" w:ascii="仿宋_GB2312" w:hAnsi="仿宋_GB2312" w:eastAsia="仿宋_GB2312" w:cs="仿宋_GB2312"/>
          <w:b w:val="0"/>
          <w:bCs w:val="0"/>
          <w:spacing w:val="-6"/>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b w:val="0"/>
          <w:bCs w:val="0"/>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color w:val="auto"/>
          <w:sz w:val="32"/>
          <w:szCs w:val="32"/>
          <w:highlight w:val="none"/>
        </w:rPr>
        <w:t xml:space="preserve"> </w:t>
      </w:r>
      <w:r>
        <w:rPr>
          <w:rFonts w:hint="eastAsia" w:ascii="黑体" w:hAnsi="黑体" w:eastAsia="黑体" w:cs="黑体"/>
          <w:b w:val="0"/>
          <w:bCs w:val="0"/>
          <w:sz w:val="32"/>
          <w:szCs w:val="32"/>
          <w:highlight w:val="none"/>
        </w:rPr>
        <w:t>第八章  资产信息化管理与统计报告</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宋体" w:hAnsi="宋体" w:eastAsia="宋体" w:cs="宋体"/>
          <w:b w:val="0"/>
          <w:bCs w:val="0"/>
          <w:kern w:val="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第三十三条</w:t>
      </w:r>
      <w:r>
        <w:rPr>
          <w:rFonts w:hint="eastAsia" w:ascii="宋体" w:hAnsi="宋体" w:eastAsia="宋体" w:cs="宋体"/>
          <w:b w:val="0"/>
          <w:bCs w:val="0"/>
          <w:color w:val="000000"/>
          <w:kern w:val="0"/>
          <w:sz w:val="32"/>
          <w:szCs w:val="32"/>
          <w:highlight w:val="none"/>
        </w:rPr>
        <w:t xml:space="preserve">  </w:t>
      </w:r>
      <w:r>
        <w:rPr>
          <w:rFonts w:hint="eastAsia" w:ascii="仿宋_GB2312" w:hAnsi="仿宋_GB2312" w:eastAsia="仿宋_GB2312" w:cs="仿宋_GB2312"/>
          <w:b w:val="0"/>
          <w:bCs w:val="0"/>
          <w:color w:val="000000"/>
          <w:kern w:val="0"/>
          <w:sz w:val="32"/>
          <w:szCs w:val="32"/>
          <w:highlight w:val="none"/>
        </w:rPr>
        <w:t>资产信息化管理是指利用计算机网络技术，对本单位资产的现状以及配置、使用、处置等环节进行动态管理的一种手段，是实现国有资产管理制度化、规范化、科学化的重要保证。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kern w:val="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第三十四条</w:t>
      </w:r>
      <w:r>
        <w:rPr>
          <w:rFonts w:hint="eastAsia" w:ascii="宋体" w:hAnsi="宋体" w:eastAsia="宋体" w:cs="宋体"/>
          <w:b w:val="0"/>
          <w:bCs w:val="0"/>
          <w:color w:val="000000"/>
          <w:kern w:val="0"/>
          <w:sz w:val="32"/>
          <w:szCs w:val="32"/>
          <w:highlight w:val="none"/>
        </w:rPr>
        <w:t xml:space="preserve">  </w:t>
      </w:r>
      <w:r>
        <w:rPr>
          <w:rFonts w:hint="eastAsia" w:ascii="仿宋_GB2312" w:hAnsi="仿宋_GB2312" w:eastAsia="仿宋_GB2312" w:cs="仿宋_GB2312"/>
          <w:b w:val="0"/>
          <w:bCs w:val="0"/>
          <w:color w:val="000000"/>
          <w:kern w:val="0"/>
          <w:sz w:val="32"/>
          <w:szCs w:val="32"/>
          <w:highlight w:val="none"/>
        </w:rPr>
        <w:t>各单位应按照资产信息化管理的要求，及时将本单位管理的各类国有资产的基本信息录入资产信息管理系统。在此基础上，做好国有资产统计、报告、分析工作，实现国有资产动态管理。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宋体" w:cs="宋体"/>
          <w:b w:val="0"/>
          <w:bCs w:val="0"/>
          <w:color w:val="000000"/>
          <w:kern w:val="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第三十五条</w:t>
      </w:r>
      <w:r>
        <w:rPr>
          <w:rFonts w:hint="eastAsia" w:ascii="宋体" w:hAnsi="宋体" w:eastAsia="宋体" w:cs="宋体"/>
          <w:b w:val="0"/>
          <w:bCs w:val="0"/>
          <w:color w:val="000000"/>
          <w:kern w:val="0"/>
          <w:sz w:val="32"/>
          <w:szCs w:val="32"/>
          <w:highlight w:val="none"/>
        </w:rPr>
        <w:t xml:space="preserve">  </w:t>
      </w:r>
      <w:r>
        <w:rPr>
          <w:rFonts w:hint="eastAsia" w:ascii="仿宋_GB2312" w:hAnsi="仿宋_GB2312" w:eastAsia="仿宋_GB2312" w:cs="仿宋_GB2312"/>
          <w:b w:val="0"/>
          <w:bCs w:val="0"/>
          <w:color w:val="000000"/>
          <w:kern w:val="0"/>
          <w:sz w:val="32"/>
          <w:szCs w:val="32"/>
          <w:highlight w:val="none"/>
        </w:rPr>
        <w:t>各单位报送资产统计报告，应当做到真实、准确、及时、完整，并对国有资产占有、使用、变动、处置等情况做出文字分析说明。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第九章  资产管理考核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第三十六条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000000"/>
          <w:sz w:val="32"/>
          <w:szCs w:val="32"/>
          <w:highlight w:val="none"/>
        </w:rPr>
        <w:t>各单位应按国有资产的管理规定指定专人负责管理国有资产，对资产实行综合管理和监督。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pacing w:val="2"/>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第三十七条</w:t>
      </w:r>
      <w:r>
        <w:rPr>
          <w:rFonts w:hint="eastAsia" w:ascii="宋体" w:hAnsi="宋体" w:eastAsia="宋体" w:cs="Times New Roman"/>
          <w:b w:val="0"/>
          <w:bCs w:val="0"/>
          <w:color w:val="000000"/>
          <w:spacing w:val="2"/>
          <w:sz w:val="32"/>
          <w:szCs w:val="32"/>
          <w:highlight w:val="none"/>
        </w:rPr>
        <w:t xml:space="preserve">  </w:t>
      </w:r>
      <w:r>
        <w:rPr>
          <w:rFonts w:hint="eastAsia" w:ascii="仿宋_GB2312" w:hAnsi="仿宋_GB2312" w:eastAsia="仿宋_GB2312" w:cs="仿宋_GB2312"/>
          <w:b w:val="0"/>
          <w:bCs w:val="0"/>
          <w:color w:val="000000"/>
          <w:spacing w:val="2"/>
          <w:sz w:val="32"/>
          <w:szCs w:val="32"/>
          <w:highlight w:val="none"/>
        </w:rPr>
        <w:t>各单位要将资产管理责任落实到使用部门和使用人。资产使用部门和使用人对所用资产负有保管、维护、确保资产安全完整的责任。单位对资产丢失、毁损等情况实行责任追究，如属于使用人人为因素造成的丢失、毁损，造成的损失应由使用人承担，其他原因造成的丢失或毁损，应查明原因，分清责任，按相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color w:val="000000"/>
          <w:spacing w:val="2"/>
          <w:kern w:val="0"/>
          <w:sz w:val="32"/>
          <w:szCs w:val="32"/>
          <w:highlight w:val="none"/>
        </w:rPr>
      </w:pPr>
      <w:r>
        <w:rPr>
          <w:rFonts w:hint="eastAsia" w:ascii="黑体" w:hAnsi="黑体" w:eastAsia="黑体" w:cs="黑体"/>
          <w:b w:val="0"/>
          <w:bCs w:val="0"/>
          <w:color w:val="000000"/>
          <w:kern w:val="0"/>
          <w:sz w:val="32"/>
          <w:szCs w:val="32"/>
          <w:highlight w:val="none"/>
          <w:lang w:val="en-US" w:eastAsia="zh-CN" w:bidi="ar-SA"/>
        </w:rPr>
        <w:t xml:space="preserve">第三十八条 </w:t>
      </w:r>
      <w:r>
        <w:rPr>
          <w:rFonts w:hint="eastAsia" w:ascii="宋体" w:hAnsi="宋体" w:eastAsia="宋体" w:cs="宋体"/>
          <w:b w:val="0"/>
          <w:bCs w:val="0"/>
          <w:color w:val="000000"/>
          <w:spacing w:val="2"/>
          <w:kern w:val="0"/>
          <w:sz w:val="32"/>
          <w:szCs w:val="32"/>
          <w:highlight w:val="none"/>
        </w:rPr>
        <w:t xml:space="preserve"> </w:t>
      </w:r>
      <w:r>
        <w:rPr>
          <w:rFonts w:hint="eastAsia" w:ascii="仿宋_GB2312" w:hAnsi="仿宋_GB2312" w:eastAsia="仿宋_GB2312" w:cs="仿宋_GB2312"/>
          <w:b w:val="0"/>
          <w:bCs w:val="0"/>
          <w:color w:val="000000"/>
          <w:spacing w:val="2"/>
          <w:kern w:val="0"/>
          <w:sz w:val="32"/>
          <w:szCs w:val="32"/>
          <w:highlight w:val="none"/>
        </w:rPr>
        <w:t>各单位要经常检查并改善资产使用情况，减少资产的非正常损耗，做到高效节约，物尽其用，充分发挥国有资产使用效益，防止国有资产使用过程的损失和浪费。</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eastAsia="宋体" w:cs="宋体"/>
          <w:b w:val="0"/>
          <w:bCs w:val="0"/>
          <w:color w:val="000000"/>
          <w:spacing w:val="2"/>
          <w:kern w:val="0"/>
          <w:sz w:val="32"/>
          <w:szCs w:val="32"/>
          <w:highlight w:val="none"/>
        </w:rPr>
      </w:pPr>
      <w:r>
        <w:rPr>
          <w:rFonts w:hint="eastAsia" w:ascii="宋体" w:hAnsi="宋体" w:eastAsia="宋体" w:cs="宋体"/>
          <w:b w:val="0"/>
          <w:bCs w:val="0"/>
          <w:color w:val="000000"/>
          <w:spacing w:val="2"/>
          <w:kern w:val="0"/>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第十章  附</w:t>
      </w:r>
      <w:r>
        <w:rPr>
          <w:rFonts w:hint="eastAsia" w:ascii="黑体" w:hAnsi="黑体" w:eastAsia="黑体" w:cs="黑体"/>
          <w:b w:val="0"/>
          <w:bCs w:val="0"/>
          <w:sz w:val="32"/>
          <w:szCs w:val="32"/>
          <w:highlight w:val="none"/>
          <w:lang w:val="en-US" w:eastAsia="zh-CN"/>
        </w:rPr>
        <w:t xml:space="preserve">  </w:t>
      </w:r>
      <w:r>
        <w:rPr>
          <w:rFonts w:hint="eastAsia" w:ascii="黑体" w:hAnsi="黑体" w:eastAsia="黑体" w:cs="黑体"/>
          <w:b w:val="0"/>
          <w:bCs w:val="0"/>
          <w:sz w:val="32"/>
          <w:szCs w:val="32"/>
          <w:highlight w:val="none"/>
        </w:rPr>
        <w:t>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Times New Roman"/>
          <w:b w:val="0"/>
          <w:bCs w:val="0"/>
          <w:color w:val="000000"/>
          <w:spacing w:val="-11"/>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第三十九条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000000"/>
          <w:spacing w:val="-11"/>
          <w:sz w:val="32"/>
          <w:szCs w:val="32"/>
          <w:highlight w:val="none"/>
        </w:rPr>
        <w:t>院属各单位可参照本办法制订国有资产管理细则。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第四十条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000000"/>
          <w:sz w:val="32"/>
          <w:szCs w:val="32"/>
          <w:highlight w:val="none"/>
        </w:rPr>
        <w:t>本办法由计财处、后勤管理处、后勤服务中心、科研基地管理处负责解释。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第四十一条</w:t>
      </w:r>
      <w:r>
        <w:rPr>
          <w:rFonts w:hint="eastAsia" w:ascii="宋体" w:hAnsi="宋体" w:eastAsia="宋体" w:cs="Times New Roman"/>
          <w:b w:val="0"/>
          <w:bCs w:val="0"/>
          <w:color w:val="000000"/>
          <w:sz w:val="32"/>
          <w:szCs w:val="32"/>
          <w:highlight w:val="none"/>
        </w:rPr>
        <w:t xml:space="preserve">  </w:t>
      </w:r>
      <w:r>
        <w:rPr>
          <w:rFonts w:hint="eastAsia" w:ascii="仿宋_GB2312" w:hAnsi="仿宋_GB2312" w:eastAsia="仿宋_GB2312" w:cs="仿宋_GB2312"/>
          <w:b w:val="0"/>
          <w:bCs w:val="0"/>
          <w:color w:val="000000"/>
          <w:sz w:val="32"/>
          <w:szCs w:val="32"/>
          <w:highlight w:val="none"/>
        </w:rPr>
        <w:t>本办法如有与国家和自治区有关规定不一致的，从其规定。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b w:val="0"/>
          <w:bCs w:val="0"/>
          <w:color w:val="000000"/>
          <w:kern w:val="0"/>
          <w:sz w:val="32"/>
          <w:szCs w:val="32"/>
          <w:highlight w:val="none"/>
          <w:lang w:val="en-US" w:eastAsia="zh-CN" w:bidi="ar-SA"/>
        </w:rPr>
        <w:t>第四十二条</w:t>
      </w:r>
      <w:r>
        <w:rPr>
          <w:rFonts w:hint="eastAsia" w:ascii="宋体" w:hAnsi="宋体" w:eastAsia="宋体" w:cs="Times New Roman"/>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rPr>
        <w:t>本办法自印发</w:t>
      </w:r>
      <w:r>
        <w:rPr>
          <w:rFonts w:hint="eastAsia" w:ascii="仿宋_GB2312" w:hAnsi="仿宋_GB2312" w:eastAsia="仿宋_GB2312" w:cs="仿宋_GB2312"/>
          <w:b w:val="0"/>
          <w:bCs w:val="0"/>
          <w:color w:val="auto"/>
          <w:kern w:val="0"/>
          <w:sz w:val="32"/>
          <w:szCs w:val="32"/>
          <w:highlight w:val="none"/>
        </w:rPr>
        <w:t>之日起实施，2016</w:t>
      </w:r>
      <w:r>
        <w:rPr>
          <w:rFonts w:hint="eastAsia" w:ascii="仿宋_GB2312" w:hAnsi="仿宋_GB2312" w:eastAsia="仿宋_GB2312" w:cs="仿宋_GB2312"/>
          <w:color w:val="auto"/>
          <w:kern w:val="0"/>
          <w:sz w:val="32"/>
          <w:szCs w:val="32"/>
          <w:highlight w:val="none"/>
        </w:rPr>
        <w:t>年印发的《广西农业科学院国有资产管理暂行办法》（桂农科发〔2016〕69号）同时废止。</w:t>
      </w:r>
    </w:p>
    <w:p>
      <w:pPr>
        <w:widowControl w:val="0"/>
        <w:spacing w:line="500" w:lineRule="exact"/>
        <w:ind w:firstLine="616"/>
        <w:rPr>
          <w:rFonts w:ascii="宋体" w:hAnsi="宋体" w:eastAsia="宋体" w:cs="Times New Roman"/>
          <w:spacing w:val="-6"/>
          <w:kern w:val="0"/>
          <w:sz w:val="28"/>
          <w:szCs w:val="28"/>
          <w:highlight w:val="none"/>
        </w:rPr>
      </w:pPr>
    </w:p>
    <w:p>
      <w:pPr>
        <w:spacing w:line="500" w:lineRule="exact"/>
        <w:rPr>
          <w:highlight w:val="none"/>
        </w:rPr>
        <w:sectPr>
          <w:footerReference r:id="rId3" w:type="default"/>
          <w:footerReference r:id="rId4" w:type="even"/>
          <w:pgSz w:w="11906" w:h="16838"/>
          <w:pgMar w:top="1701" w:right="1418" w:bottom="1418" w:left="1418" w:header="851" w:footer="1247" w:gutter="0"/>
          <w:cols w:space="720" w:num="1"/>
          <w:docGrid w:type="lines" w:linePitch="312" w:charSpace="0"/>
        </w:sect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w:p>
      <w:pPr>
        <w:spacing w:line="100" w:lineRule="exact"/>
        <w:rPr>
          <w:rFonts w:hint="default" w:ascii="仿宋_GB2312" w:hAnsi="仿宋" w:eastAsia="仿宋_GB2312"/>
          <w:color w:val="000000"/>
          <w:highlight w:val="none"/>
          <w:lang w:val="en"/>
        </w:rPr>
      </w:pPr>
    </w:p>
    <mc:AlternateContent>
      <mc:Choice Requires="wpsCustomData">
        <wpsCustomData:docfieldEnd id="1"/>
      </mc:Choice>
    </mc:Alternate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7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jc w:val="center"/>
        </w:trPr>
        <w:tc>
          <w:tcPr>
            <w:tcW w:w="90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广西壮族自治区农业科学院办公室 </w:t>
            </w:r>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rPr>
              <w:t xml:space="preserve"> </w:t>
            </w:r>
            <mc:AlternateContent>
              <mc:Choice Requires="wpsCustomData">
                <wpsCustomData:docfieldStart id="2" docfieldname="印发日期" hidden="false" print="true" readonly="false" index="3"/>
              </mc:Choice>
            </mc:AlternateContent>
            <w:r>
              <w:rPr>
                <w:rFonts w:hint="eastAsia" w:ascii="仿宋_GB2312" w:hAnsi="仿宋_GB2312" w:eastAsia="仿宋_GB2312" w:cs="仿宋_GB2312"/>
                <w:sz w:val="28"/>
                <w:szCs w:val="28"/>
                <w:vertAlign w:val="baseline"/>
                <w:lang w:eastAsia="zh-CN"/>
              </w:rPr>
              <w:t>2022年9月</w:t>
            </w:r>
            <w:r>
              <w:rPr>
                <w:rFonts w:hint="eastAsia" w:ascii="仿宋_GB2312" w:hAnsi="仿宋_GB2312" w:eastAsia="仿宋_GB2312" w:cs="仿宋_GB2312"/>
                <w:sz w:val="28"/>
                <w:szCs w:val="28"/>
                <w:vertAlign w:val="baseline"/>
                <w:lang w:val="en-US" w:eastAsia="zh-CN"/>
              </w:rPr>
              <w:t>9</w:t>
            </w:r>
            <w:r>
              <w:rPr>
                <w:rFonts w:hint="eastAsia" w:ascii="仿宋_GB2312" w:hAnsi="仿宋_GB2312" w:eastAsia="仿宋_GB2312" w:cs="仿宋_GB2312"/>
                <w:sz w:val="28"/>
                <w:szCs w:val="28"/>
                <w:vertAlign w:val="baseline"/>
                <w:lang w:eastAsia="zh-CN"/>
              </w:rPr>
              <w:t>日</w:t>
            </w:r>
            <mc:AlternateContent>
              <mc:Choice Requires="wpsCustomData">
                <wpsCustomData:docfieldEnd id="2"/>
              </mc:Choice>
            </mc:AlternateContent>
            <w:r>
              <w:rPr>
                <w:rFonts w:hint="eastAsia" w:ascii="仿宋_GB2312" w:hAnsi="仿宋_GB2312" w:eastAsia="仿宋_GB2312" w:cs="仿宋_GB2312"/>
                <w:sz w:val="28"/>
                <w:szCs w:val="28"/>
                <w:vertAlign w:val="baseline"/>
                <w:lang w:val="en-US" w:eastAsia="zh-CN"/>
              </w:rPr>
              <w:t>印发</w:t>
            </w:r>
          </w:p>
        </w:tc>
      </w:tr>
    </w:tbl>
    <w:p>
      <w:pPr>
        <w:spacing w:line="100" w:lineRule="exact"/>
      </w:pPr>
    </w:p>
    <w:sectPr>
      <w:headerReference r:id="rId5" w:type="default"/>
      <w:footerReference r:id="rId6" w:type="default"/>
      <w:footerReference r:id="rId7" w:type="even"/>
      <w:pgSz w:w="11906" w:h="16838"/>
      <w:pgMar w:top="1701" w:right="1418" w:bottom="1418" w:left="1418"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AFF" w:usb1="C0007843" w:usb2="00000009" w:usb3="00000000" w:csb0="400001FF" w:csb1="FFFF0000"/>
  </w:font>
  <w:font w:name="仿宋_GB2312">
    <w:altName w:val="方正仿宋_GBK"/>
    <w:panose1 w:val="02010609030101010101"/>
    <w:charset w:val="00"/>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rFonts w:ascii="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- 1 -</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- 1 -</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rFonts w:ascii="Times New Roman" w:cs="Times New Roman"/>
        <w:sz w:val="20"/>
        <w:szCs w:val="20"/>
      </w:rPr>
    </w:pPr>
    <w:r>
      <mc:AlternateContent>
        <mc:Choice Requires="wps">
          <w:drawing>
            <wp:anchor distT="0" distB="0" distL="114300" distR="114300" simplePos="0" relativeHeight="251658240" behindDoc="1" locked="0" layoutInCell="0" allowOverlap="1">
              <wp:simplePos x="0" y="0"/>
              <wp:positionH relativeFrom="page">
                <wp:posOffset>934085</wp:posOffset>
              </wp:positionH>
              <wp:positionV relativeFrom="page">
                <wp:posOffset>10000615</wp:posOffset>
              </wp:positionV>
              <wp:extent cx="432435" cy="24003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432435" cy="240030"/>
                      </a:xfrm>
                      <a:prstGeom prst="rect">
                        <a:avLst/>
                      </a:prstGeom>
                      <a:noFill/>
                      <a:ln>
                        <a:noFill/>
                      </a:ln>
                      <a:effectLst/>
                    </wps:spPr>
                    <wps:txbx>
                      <w:txbxContent>
                        <w:p>
                          <w:pPr>
                            <w:pStyle w:val="3"/>
                            <w:kinsoku w:val="0"/>
                            <w:overflowPunct w:val="0"/>
                            <w:spacing w:before="11"/>
                            <w:ind w:left="20"/>
                            <w:rPr>
                              <w:rFonts w:ascii="Arial" w:hAnsi="Arial" w:cs="Arial"/>
                              <w:w w:val="115"/>
                              <w:sz w:val="26"/>
                              <w:szCs w:val="26"/>
                            </w:rPr>
                          </w:pPr>
                          <w:r>
                            <w:rPr>
                              <w:rFonts w:ascii="Arial" w:hAnsi="Arial" w:cs="Arial"/>
                              <w:w w:val="210"/>
                              <w:sz w:val="26"/>
                              <w:szCs w:val="26"/>
                            </w:rPr>
                            <w:t xml:space="preserve">- </w:t>
                          </w:r>
                          <w:r>
                            <w:rPr>
                              <w:rFonts w:ascii="Arial" w:hAnsi="Arial" w:cs="Arial"/>
                              <w:w w:val="115"/>
                              <w:sz w:val="26"/>
                              <w:szCs w:val="26"/>
                            </w:rPr>
                            <w:fldChar w:fldCharType="begin"/>
                          </w:r>
                          <w:r>
                            <w:rPr>
                              <w:rFonts w:ascii="Arial" w:hAnsi="Arial" w:cs="Arial"/>
                              <w:w w:val="115"/>
                              <w:sz w:val="26"/>
                              <w:szCs w:val="26"/>
                            </w:rPr>
                            <w:instrText xml:space="preserve"> PAGE </w:instrText>
                          </w:r>
                          <w:r>
                            <w:rPr>
                              <w:rFonts w:ascii="Arial" w:hAnsi="Arial" w:cs="Arial"/>
                              <w:w w:val="115"/>
                              <w:sz w:val="26"/>
                              <w:szCs w:val="26"/>
                            </w:rPr>
                            <w:fldChar w:fldCharType="separate"/>
                          </w:r>
                          <w:r>
                            <w:rPr>
                              <w:rFonts w:ascii="Arial" w:hAnsi="Arial" w:cs="Arial"/>
                              <w:w w:val="115"/>
                              <w:sz w:val="26"/>
                              <w:szCs w:val="26"/>
                            </w:rPr>
                            <w:t>4</w:t>
                          </w:r>
                          <w:r>
                            <w:rPr>
                              <w:rFonts w:ascii="Arial" w:hAnsi="Arial" w:cs="Arial"/>
                              <w:w w:val="115"/>
                              <w:sz w:val="26"/>
                              <w:szCs w:val="26"/>
                            </w:rPr>
                            <w:fldChar w:fldCharType="end"/>
                          </w:r>
                          <w:r>
                            <w:rPr>
                              <w:rFonts w:ascii="Arial" w:hAnsi="Arial" w:cs="Arial"/>
                              <w:spacing w:val="-42"/>
                              <w:w w:val="115"/>
                              <w:sz w:val="26"/>
                              <w:szCs w:val="26"/>
                            </w:rPr>
                            <w:t xml:space="preserve"> </w:t>
                          </w:r>
                          <w:r>
                            <w:rPr>
                              <w:rFonts w:ascii="Arial" w:hAnsi="Arial" w:cs="Arial"/>
                              <w:w w:val="115"/>
                              <w:sz w:val="26"/>
                              <w:szCs w:val="26"/>
                            </w:rPr>
                            <w:t>-</w:t>
                          </w:r>
                        </w:p>
                      </w:txbxContent>
                    </wps:txbx>
                    <wps:bodyPr wrap="square" lIns="0" tIns="0" rIns="0" bIns="0" upright="true"/>
                  </wps:wsp>
                </a:graphicData>
              </a:graphic>
            </wp:anchor>
          </w:drawing>
        </mc:Choice>
        <mc:Fallback>
          <w:pict>
            <v:shape id="_x0000_s1026" o:spid="_x0000_s1026" o:spt="202" type="#_x0000_t202" style="position:absolute;left:0pt;margin-left:73.55pt;margin-top:787.45pt;height:18.9pt;width:34.05pt;mso-position-horizontal-relative:page;mso-position-vertical-relative:page;z-index:-251658240;mso-width-relative:page;mso-height-relative:page;" filled="f" stroked="f" coordsize="21600,21600" o:allowincell="f" o:gfxdata="UEsFBgAAAAAAAAAAAAAAAAAAAAAAAFBLAwQKAAAAAACHTuJAAAAAAAAAAAAAAAAABAAAAGRycy9Q&#10;SwMEFAAAAAgAh07iQPJQeADbAAAADQEAAA8AAABkcnMvZG93bnJldi54bWxNj81OwzAQhO9IvIO1&#10;SNyo7ahNaBqnQghOSIg0HHp0EjexGq9D7P7w9iwnuO3sjma/KbZXN7KzmYP1qEAuBDCDre8s9go+&#10;69eHR2Ahauz06NEo+DYBtuXtTaHzzl+wMudd7BmFYMi1giHGKec8tINxOiz8ZJBuBz87HUnOPe9m&#10;faFwN/JEiJQ7bZE+DHoyz4Npj7uTU/C0x+rFfr03H9WhsnW9FviWHpW6v5NiAyyaa/wzwy8+oUNJ&#10;TI0/YRfYSHqZSbLSsMqWa2BkSeQqAdbQKpVJBrws+P8W5Q9QSwMEFAAAAAgAh07iQDXvZFOwAQAA&#10;RQMAAA4AAABkcnMvZTJvRG9jLnhtbK1SS27bMBDdF8gdCO5jKbJbFILpAEWQIEDRFkhzAJoiLQL8&#10;dUhb8gXaG3TVTfc9l8/RIW25abIruqGGM8On997M8nq0huwkRO0do1ezmhLphO+02zD6+Pn28i0l&#10;MXHXceOdZHQvI71eXbxaDqGVje+96SQQBHGxHQKjfUqhraooeml5nPkgHRaVB8sTXmFTdcAHRLem&#10;aur6TTV46AJ4IWPE7M2xSFcFXykp0kelokzEMIrcUjmhnOt8VqslbzfAQ6/FiQb/BxaWa4c/PUPd&#10;8MTJFvQLKKsF+OhVmglvK6+UFrJoQDVX9TM1Dz0PsmhBc2I42xT/H6z4sPsERHeMNpQ4bnFEh+/f&#10;Dj9+HX5+JU22Zwixxa6HgH1pfOdHRhNs5VSKmM/CRwU2f1ESwRb0en/2V46JCEwu5s1i/poSgaVm&#10;Udfz4n/153GAmO6ktyQHjAKOr7jKd+9jQi7YOrXkfzl/q40pIzTurwQ2HjOy7MDpdZZy5JujNK7H&#10;k7617/Yob8A9YDR+2XKQlJh7h0bnpZkCmIL1FGwD6E2PVCdLqoyMsypcT3uVl+HpHeOn27/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PJQeADbAAAADQEAAA8AAAAAAAAAAQAgAAAAOAAAAGRycy9k&#10;b3ducmV2LnhtbFBLAQIUABQAAAAIAIdO4kA172RTsAEAAEUDAAAOAAAAAAAAAAEAIAAAAEABAABk&#10;cnMvZTJvRG9jLnhtbFBLBQYAAAAABgAGAFkBAABiBQAAAAA=&#10;">
              <v:fill on="f" focussize="0,0"/>
              <v:stroke on="f"/>
              <v:imagedata o:title=""/>
              <o:lock v:ext="edit" aspectratio="f"/>
              <v:textbox inset="0mm,0mm,0mm,0mm">
                <w:txbxContent>
                  <w:p>
                    <w:pPr>
                      <w:pStyle w:val="3"/>
                      <w:kinsoku w:val="0"/>
                      <w:overflowPunct w:val="0"/>
                      <w:spacing w:before="11"/>
                      <w:ind w:left="20"/>
                      <w:rPr>
                        <w:rFonts w:ascii="Arial" w:hAnsi="Arial" w:cs="Arial"/>
                        <w:w w:val="115"/>
                        <w:sz w:val="26"/>
                        <w:szCs w:val="26"/>
                      </w:rPr>
                    </w:pPr>
                    <w:r>
                      <w:rPr>
                        <w:rFonts w:ascii="Arial" w:hAnsi="Arial" w:cs="Arial"/>
                        <w:w w:val="210"/>
                        <w:sz w:val="26"/>
                        <w:szCs w:val="26"/>
                      </w:rPr>
                      <w:t xml:space="preserve">- </w:t>
                    </w:r>
                    <w:r>
                      <w:rPr>
                        <w:rFonts w:ascii="Arial" w:hAnsi="Arial" w:cs="Arial"/>
                        <w:w w:val="115"/>
                        <w:sz w:val="26"/>
                        <w:szCs w:val="26"/>
                      </w:rPr>
                      <w:fldChar w:fldCharType="begin"/>
                    </w:r>
                    <w:r>
                      <w:rPr>
                        <w:rFonts w:ascii="Arial" w:hAnsi="Arial" w:cs="Arial"/>
                        <w:w w:val="115"/>
                        <w:sz w:val="26"/>
                        <w:szCs w:val="26"/>
                      </w:rPr>
                      <w:instrText xml:space="preserve"> PAGE </w:instrText>
                    </w:r>
                    <w:r>
                      <w:rPr>
                        <w:rFonts w:ascii="Arial" w:hAnsi="Arial" w:cs="Arial"/>
                        <w:w w:val="115"/>
                        <w:sz w:val="26"/>
                        <w:szCs w:val="26"/>
                      </w:rPr>
                      <w:fldChar w:fldCharType="separate"/>
                    </w:r>
                    <w:r>
                      <w:rPr>
                        <w:rFonts w:ascii="Arial" w:hAnsi="Arial" w:cs="Arial"/>
                        <w:w w:val="115"/>
                        <w:sz w:val="26"/>
                        <w:szCs w:val="26"/>
                      </w:rPr>
                      <w:t>4</w:t>
                    </w:r>
                    <w:r>
                      <w:rPr>
                        <w:rFonts w:ascii="Arial" w:hAnsi="Arial" w:cs="Arial"/>
                        <w:w w:val="115"/>
                        <w:sz w:val="26"/>
                        <w:szCs w:val="26"/>
                      </w:rPr>
                      <w:fldChar w:fldCharType="end"/>
                    </w:r>
                    <w:r>
                      <w:rPr>
                        <w:rFonts w:ascii="Arial" w:hAnsi="Arial" w:cs="Arial"/>
                        <w:spacing w:val="-42"/>
                        <w:w w:val="115"/>
                        <w:sz w:val="26"/>
                        <w:szCs w:val="26"/>
                      </w:rPr>
                      <w:t xml:space="preserve"> </w:t>
                    </w:r>
                    <w:r>
                      <w:rPr>
                        <w:rFonts w:ascii="Arial" w:hAnsi="Arial" w:cs="Arial"/>
                        <w:w w:val="115"/>
                        <w:sz w:val="26"/>
                        <w:szCs w:val="26"/>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hint="eastAsia"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Style w:val="10"/>
        <w:rFonts w:hint="eastAsia" w:ascii="宋体" w:hAnsi="宋体"/>
        <w:sz w:val="28"/>
        <w:szCs w:val="28"/>
      </w:rPr>
      <w:t xml:space="preserve"> —</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72D77"/>
    <w:multiLevelType w:val="multilevel"/>
    <w:tmpl w:val="32372D77"/>
    <w:lvl w:ilvl="0" w:tentative="0">
      <w:start w:val="1"/>
      <w:numFmt w:val="chineseCounting"/>
      <w:suff w:val="space"/>
      <w:lvlText w:val="第%1章"/>
      <w:lvlJc w:val="left"/>
      <w:pPr>
        <w:ind w:left="0" w:firstLine="0"/>
      </w:pPr>
      <w:rPr>
        <w:rFonts w:hint="eastAsia" w:ascii="黑体" w:hAnsi="黑体" w:eastAsia="黑体" w:cs="黑体"/>
        <w:sz w:val="32"/>
        <w:szCs w:val="3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DF13F7"/>
    <w:rsid w:val="2F7FCA4E"/>
    <w:rsid w:val="38B92362"/>
    <w:rsid w:val="3EFFC814"/>
    <w:rsid w:val="4FAFA442"/>
    <w:rsid w:val="53FC2BE1"/>
    <w:rsid w:val="5FF34554"/>
    <w:rsid w:val="6F73A749"/>
    <w:rsid w:val="6FDE8044"/>
    <w:rsid w:val="753FFB10"/>
    <w:rsid w:val="7FBFDC19"/>
    <w:rsid w:val="8F3EA150"/>
    <w:rsid w:val="B7FFB1B8"/>
    <w:rsid w:val="BF1FD1E1"/>
    <w:rsid w:val="C12AAF1A"/>
    <w:rsid w:val="CB9FD786"/>
    <w:rsid w:val="DF7F3506"/>
    <w:rsid w:val="DFDF13F7"/>
    <w:rsid w:val="EA7B254C"/>
    <w:rsid w:val="EE8EFD2B"/>
    <w:rsid w:val="EF7EFB71"/>
    <w:rsid w:val="EFAFFD78"/>
    <w:rsid w:val="F5FAD99A"/>
    <w:rsid w:val="F7E7C65D"/>
    <w:rsid w:val="FBACFEBC"/>
    <w:rsid w:val="FE7B1042"/>
    <w:rsid w:val="FF8B771E"/>
    <w:rsid w:val="FFBFDB77"/>
    <w:rsid w:val="FFF3376E"/>
    <w:rsid w:val="FFFF6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annotation text"/>
    <w:basedOn w:val="1"/>
    <w:unhideWhenUsed/>
    <w:qFormat/>
    <w:uiPriority w:val="99"/>
    <w:pPr>
      <w:jc w:val="left"/>
    </w:pPr>
    <w:rPr>
      <w:szCs w:val="22"/>
    </w:rPr>
  </w:style>
  <w:style w:type="paragraph" w:styleId="3">
    <w:name w:val="Body Text"/>
    <w:basedOn w:val="1"/>
    <w:unhideWhenUsed/>
    <w:qFormat/>
    <w:uiPriority w:val="99"/>
    <w:rPr>
      <w:rFonts w:ascii="Times New Roman" w:hAnsi="Times New Roman"/>
      <w:b/>
      <w:kern w:val="0"/>
      <w:sz w:val="44"/>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3810</Words>
  <Characters>3862</Characters>
  <Lines>0</Lines>
  <Paragraphs>0</Paragraphs>
  <TotalTime>3.33333333333333</TotalTime>
  <ScaleCrop>false</ScaleCrop>
  <LinksUpToDate>false</LinksUpToDate>
  <CharactersWithSpaces>4010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2022-01-27T10:30:00Z</dcterms:created>
  <dc:creator>管理员</dc:creator>
  <cp:lastModifiedBy>gxxc</cp:lastModifiedBy>
  <dcterms:modified xsi:type="dcterms:W3CDTF">2022-11-25T10:41:41Z</dcterms:modified>
  <dc:title>广西壮族自治区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公文标识">
    <vt:lpwstr>1.2.156.10.91110108753321386X-3-2022-0Z-00035-1</vt:lpwstr>
  </property>
  <property fmtid="{D5CDD505-2E9C-101B-9397-08002B2CF9AE}" pid="4" name="文种">
    <vt:lpwstr/>
  </property>
</Properties>
</file>